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10</w:t>
      </w:r>
    </w:p>
    <w:p w:rsidR="00000000" w:rsidDel="00000000" w:rsidP="00000000" w:rsidRDefault="00000000" w:rsidRPr="00000000" w14:paraId="00000002">
      <w:pPr>
        <w:spacing w:before="24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AUTODECLARAÇÃO ÉTNICO RACIAL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XXIV EDITAL CEARÁ JUNINO PARA QUADRILHAS JUNINAS - 2024</w:t>
      </w:r>
    </w:p>
    <w:p w:rsidR="00000000" w:rsidDel="00000000" w:rsidP="00000000" w:rsidRDefault="00000000" w:rsidRPr="00000000" w14:paraId="00000005">
      <w:pPr>
        <w:spacing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Nome: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RG nº: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CPF nº: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4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Declaro que sou pessoa proponente preta ou parda</w:t>
      </w:r>
      <w:r w:rsidDel="00000000" w:rsidR="00000000" w:rsidRPr="00000000">
        <w:rPr>
          <w:rtl w:val="0"/>
        </w:rPr>
        <w:t xml:space="preserve">, conforme o quesito de cor ou raça usado pelo Instituto Brasileiro de Geografia e Estatística (IBGE), para me inscrever na modalidade de reserva de vagas/cotas raciais no XXIV EDITAL CEARÁ JUNINO PARA QUADRILHAS JUNINAS - 2024. </w:t>
      </w:r>
    </w:p>
    <w:p w:rsidR="00000000" w:rsidDel="00000000" w:rsidP="00000000" w:rsidRDefault="00000000" w:rsidRPr="00000000" w14:paraId="00000011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Estou ciente de que, se for detectada falsidade nesta autodeclaração, estarei sujeito(a) às penalidades da lei, podendo inclusive ser eliminado(a) da seleção.</w:t>
      </w:r>
    </w:p>
    <w:p w:rsidR="00000000" w:rsidDel="00000000" w:rsidP="00000000" w:rsidRDefault="00000000" w:rsidRPr="00000000" w14:paraId="00000012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5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7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18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  <w:t xml:space="preserve">(Não será aceito assinatura colada)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1B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1C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