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141.73228346456688" w:right="0" w:firstLine="0"/>
        <w:jc w:val="center"/>
        <w:rPr>
          <w:b w:val="1"/>
          <w:sz w:val="24"/>
          <w:szCs w:val="24"/>
        </w:rPr>
      </w:pPr>
      <w:bookmarkStart w:colFirst="0" w:colLast="0" w:name="_heading=h.464ppji42v1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141.73228346456688" w:right="0" w:firstLine="0"/>
        <w:jc w:val="center"/>
        <w:rPr>
          <w:b w:val="1"/>
          <w:sz w:val="24"/>
          <w:szCs w:val="24"/>
        </w:rPr>
      </w:pPr>
      <w:bookmarkStart w:colFirst="0" w:colLast="0" w:name="_heading=h.rl5m72sj7i5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141.73228346456688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x4twsmjd42h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VOZES PLURAIS: BIBLIOTECAS COMUNITÁRIAS, CIRCULAÇÃO E DIFUSÃO LITERÁRIA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t43qafqkiv4s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04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MINUTA DO TERMO DE EXECUÇÃO CULTURAL</w:t>
      </w:r>
    </w:p>
    <w:p w:rsidR="00000000" w:rsidDel="00000000" w:rsidP="00000000" w:rsidRDefault="00000000" w:rsidRPr="00000000" w14:paraId="00000006">
      <w:pPr>
        <w:widowControl w:val="0"/>
        <w:spacing w:after="238" w:before="0" w:line="360" w:lineRule="auto"/>
        <w:ind w:left="1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38" w:before="0" w:line="360" w:lineRule="auto"/>
        <w:ind w:left="1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NUP: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252" w:right="57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TERMO DE EXECUÇÃO CULTURAL QUE ENTRE SI CELEBRAM O ESTADO DO CEARÁ, ATRAVÉS DA SECRETARIA DA CULTURA – SECULT, E &lt;&lt;NOME DO AGENTE CULTURAL&gt;&gt;, PARA OS FINS QUE ABAIXO ESPECIFICA.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152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line="240" w:lineRule="auto"/>
        <w:ind w:right="53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 Estado do Ceará, através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SECRETARIA DA CULTURA – SECULT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CNPJ nº 07.954.555/0001-11, com sede na Rua Major Facundo, 500, 6º andar, Centro, CEP: 60.025-100, nesta Capital, doravante denominada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SECULT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neste ato representada por seu Secretário,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LUISA CELA  DE ARRUDA COELHO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brasileira, portadora do RG nº xxxxxxxxxxxx, regularmente inscrita no CPF/MF sob nº xxxxxxxxxxx SSP/CE, residente e domiciliado nesta Capital e &lt;&lt;NOME DO AGENTE CULTURAL&gt;&gt;, CPF nº &lt;&lt;CPF&gt;&gt;, RG nº &lt;&lt;RG&gt;&gt; - &lt;&lt;ÓRGÃO&gt;&gt;, residente e domiciliado(a) em &lt;&lt;ENDEREÇO&gt;&gt;, telefone: &lt;&lt;TEL&gt;&gt;, e-mail: &lt;&lt;EMAIL&gt;&gt;, doravante denominado(a)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PROPONENTE,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RESOLVEM celebrar o presente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TERMO DE EXECUÇÃO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que passa a ser regido pelas seguintes cláusulas: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PRIMEIRA – DA FUNDAMENTAÇÃO LEGAL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line="240" w:lineRule="auto"/>
        <w:ind w:right="53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TERMO DE EXECUÇÃO CULTURAL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fundamenta nas disposições do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VOZES PLURAIS: BIBLIOTECAS COMUNITÁRIAS, CIRCULAÇÃO E DIFUSÃO LITERÁRIA,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publicado no Diário Oficial do Estado datado de xx de janeiro de xxxx,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na Lei n° 18.012 de 01 de abril de 2022 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que couber, das demais legislações aplicáveis à matéria. Esse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– TEC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 baseia, ainda, nas informações contidas no Processo Administrativo nº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SEGUNDA - DO OBJETO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line="240" w:lineRule="auto"/>
        <w:ind w:right="53" w:firstLine="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Constitui objeto do presente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TERMO DE EXECUÇÃO CULTURAL – TEC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 a concessão de apoio financeiro que o Estado do Ceará presta ao(à) AGENTE CULTURAL para execução do Projeto “&lt;&lt;PROJETO&gt;&gt;” devidamente aprovado(a)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VOZES PLURAIS: BIBLIOTECAS COMUNITÁRIAS, CIRCULAÇÃO E DIFUSÃO LITERÁRIA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, e conforme Plano de Ação anexo pactuado, parte integrante deste instrumento independentemente de transcrição.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TERCEIRA - DAS OBRIGAÇÕES DAS PARTES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a consecução dos objetivos deste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– TEC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assumem as partes as seguintes obrigações: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 – DA SECULT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02"/>
        </w:tabs>
        <w:spacing w:after="0" w:before="92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Depositar, na conta bancária informada pelo AGENTE CULTURAL os recursos financeiros previstos para a execução do supramencionado projeto, no valor de &lt;&lt;VALOR&gt;&gt;;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Acompanhar as atividades de execução, avaliando os seus resultados e reflexos;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20"/>
        </w:tabs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Supervisiona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 o(a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AGENTE CULTURAL, bem como exercer fiscalização na execução do projeto;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20"/>
        </w:tabs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Analisar os documentos enviados pelo AGENTE CULTURAL para prestação de contas;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38"/>
        </w:tabs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Analisar as propostas de alterações do projeto, desde que apresentadas previamente e por escrito, acompanhadas de justificativa e que não impliquem na alteração do objeto fomentado;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38"/>
        </w:tabs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Realizar o monitoramento e avaliação da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parceria fomentada.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II – DO(A)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Executar o projeto de acordo com as especificações aprovadas; 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Apresentar dados bancários de conta corrente para que a SECULT efetue o depósito dos recursos, a ser utilizada unicamente par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 consecução do objeto deste Termo e em conformidade com o Plano de 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Responsabilizar-se por eventuais danos, de quaisquer espécies, nos casos de negligência, imperícia ou imprudência, obrigando-se a arcar com todos os ônus decorrentes;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Realizar a prestação de contas do objeto e financeira quando solicitada, conforme previsto no edital, na Lei n° 18.012/2022 e neste instrumento.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Veicular e inserir o nome da Secretaria da Cultura e os símbolos oficiais do Estado do Ceará em toda divulgação relativa ao projeto incentivado, nos termos do manual de marcas expedido pela Assessoria de Comunicação da SECULT - ASCOM. Todas as ações e peças de comunicação referentes às atividades previstas neste Edital deverão ser previamente aprovadas pela Assessoria de Comunicação da Secult;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Garantir os meios e as condições necessárias para que os técnicos da SECULT e os auditores de controle interno do Poder Executivo estadual tenham livre acesso a todos os atos e fatos relacionados direta ou indiretamente ao instrumento pactuado, quando em missão de fiscalização ou auditoria, prestando todas e quaisquer informações solicitadas;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g) Utilizar os recursos recebidos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exclusivamente para a realização do projeto cultural e em conformidade com a legislação aplicável e o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Apresentar os relatórios e informações exigidos pela SECULT para fins de monitoramento e acompanhamento do projeto, bem como responder eventuais diligências e participar, caso haja, do encontro realizado pela SECULT para monitoramento e acompanhamento.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Comprometer-se, caso seja solicitado pela SECULT, a apresentar no ato da prestação de contas financeira o extrato da conta bancária para que seja visto o nexo financeiro entre as despesas realizadas e o objeto pactuado com a SECULT;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j) O agente cultural deverá entregar Relatório de Avaliação Intermediária do Objeto - RAIO no prazo de até 90 (noventa) dias contados da liberação dos recursos.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k)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 agente cultural deverá entregar o Relatório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Execução do Objeto no prazo de até 60 (sessenta) dias do fim de execução do objeto.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1074"/>
        </w:tabs>
        <w:spacing w:after="0" w:before="120"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l) Fornecer ao Mapa Cultural todas as informações relativas às suas ações culturais, especialmente quantos aos resultados alcançados pelo projeto fomentado.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QUARTA  – DO ACOMPANHAMENTO E FISCALIZAÇÃO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atividades executadas pelo agente cultural, objeto deste termo de execução cultural, serão monitoradas e acompanhadas pelo fiscal &lt;&lt;FISCAL&gt;&gt; inscrito(a) no CPF sob o nº &lt;&lt; CPF FISCAL&gt;&gt;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devidamente designado.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QUINTA – DA VIGÊNCIA E DAS ALTERAÇÕES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– TEC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tem vigência de 12 (doze) meses a partir da data de sua assinatura.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PARÁGRAFO PRIMEIRO 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A vigência do Termo de Execução poderá ser prorrogada mediante solicitação do AGENTE CULTURAL, previamente, no mínimo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 (quinze) dias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antes do término da vigência, devidamente formalizada e justificada, a ser apresentada à SECULT;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PARÁGRAFO SEGUNDO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prorrogação de ofício da vigência do presente Termo deve ser feita pela SECUL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 nos termos do artigo 60, §1º da Lei 18.012/2022.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PARÁGRAFO TERCEIRO -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Este termo e o plano de ação corresponden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 poderão ser alterados mediante termo aditivo ou por apostila nos termos e limites da legislação e do Edital, podendo o AGENTE CULTURAL apresentar solicitação para a alteração.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SEXTA – DOS RECURSOS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a execução do objeto deste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– TEC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serão repassados recursos no valor de &lt;&lt;VALOR&gt;&gt;,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oriundos da dotação orçamentária n° &lt;&lt;DOTAÇÃO&gt;&gt;, que serão creditados na conta bancária informada pelo AGENTE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PARÁGRAFO ÚNICO 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 crédito dos valores mencionados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caput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desta Cláusula está condicionado à apresentação, pelo(a) AGENTE CULTURAL, dos dados da supramencionada conta.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SÉTIMA – DA PRESTAÇÃO DE CONTAS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462"/>
        </w:tabs>
        <w:spacing w:after="20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fins de prestação de contas será exigida a comprovação da plena consecução do objeto do projeto, por meio da apresentação, no prazo de até 60 (sessenta) dias após o fim da vigência do instrumento jurídico, de Relatório de Execução do Objeto. A fim de comprovar a execução regular das ações fomentadas, o Relatório de Execução do Objeto deverá conter informações quantitativas e qualitativas acerca do desenvolvimento do objeto fomentado, bem como; fotos, clipping, listas de presença constando nome completo e CPF e contratos de prestação de serviços (quando for o caso). 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462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PARÁGRAFO PRIMEIRO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fins de acompanhamento e monitoramento pelo fiscal do instrumento, o agente cultural deverá fornecer à Secult Relatório Parcial de Execução do Projeto. O mesmo deve ser enviado na metade das ações do plano de ação ou a qualquer tempo conforme solicitado pelo fiscal.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462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PARÁGRAFO SEGUNDO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Relatório Final de Execução do Objeto deverá conter relato das atividades realizadas para o cumprimento do objeto e comparativo dos objetivos previstos com os resultados alcançados, a partir do projeto originalmente pactuado nos moldes previstos na Ficha de Inscrição e no Plano de Ação, podendo a comprovação sobre os produtos e serviços relativos aos objetivos se dar pela apresentação de fotos, listas de presença, vídeos, entre outros.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PARÁGRAFO TERCEIRO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sejam identificados indícios de irregularidades na execução do objeto do projeto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SECULT deverá solicitar, de forma excepcional, a prestação de contas financeira, que deverá ser apresentada por meio de Relatório de Execução Financeira, no prazo de 60 (sessenta)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dias após o recebimento de notificação específica emitida pelo fiscal.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PARÁGRAFO QUARTO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Quando a prestação de contas (financeira) for avaliada como irregular, após exaurida a fase recursal, se mantida a decisão, o AGENTE CULTURAL poderá solicitar autorização para que o ressarcimento parcial ao erário seja promovido por meio de atividades culturais compensatórias, conforme a extensão do dano, a critério da Secult, desde que não tenha havido dolo ou fraude e não seja o caso de restituição integral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PARÁGRAFO QUINTO 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Termo de Execução Cultural deverá prever que, nos casos de rejeição da prestação de contas, o valor pelo qual o bem foi adquirido será computado no cálculo do dano ao erário, se houver, com atualização monetária, caso a motivação da rejeição estiver relacionada à sua aquisição ou ao seu uso, bem como ser realizada a comunicação do fato ao Ministério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462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462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PARÁGRAFO SEXTO 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Caso a reprovação da prestação de conta financeira incida sobre bens remanescentes, o valor pelo qual o bem foi adquirido deverá ser computado ao dano, com a devida correção monetária (taxa SELIC).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462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OITAVA  – DA RESCISÃO E DAS SANÇÕES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descumprimento, por parte do(a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) AGENTE CULTURAL, de quaisque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 das obrigações definidas neste instrumento ou em seus aditamentos e na ausência de justificativa, estará sujeita às sanções previstas na Lei nº 18.012/2022.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PARÁGRAFO PRIMEIRO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O presente termo poderá ser rescindido, a qualquer tempo, das seguintes formas: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 - amigável, por acordo entre as partes;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II - unilateral, determinada pela Administração Pública, devendo a rescisão ser formalmente motivada nos autos do processo, assegurados o contraditório e a ampla defesa, o que poderá se dar nas seguintes situações: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a) descumprimento de qualquer das cláusulas e condições dos termos ou das disposições da legislação vigente;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b) constatação, a qualquer tempo, de falsidade na documentação apresentada;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c) ocorrência de caso fortuito ou de força maior, regularmente comprovada, impeditiva da execução do termo;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d) nos demais casos previstos nesta Lei.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PARÁGRAFO SEGUNDO -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As ações culturais deverão ser executadas até o limite máximo de 48 (quarenta e oito) meses, contadas todas as prorrogações, salvo em casos excepcionais em que, diante da peculiaridade e/ou complexidade do objeto, fique tecnicamente demonstrada a necessidade de concessão de prazo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NONA - DOS BENS REMANESCENTES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Havendo bens remanescentes adquiridos com recursos transferidos aos projetos, o agente cultural deverá manifestar por escrito se há interesse em permanecer com eles findo o projeto. 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se a finalidade da ação cultural for viabilizar a constituição de acervo, fortalecer a transmissão de saberes e práticas culturais, fornecer mobiliário, viabilizar reforma de espaços culturais, prover recursos tecnológicos para agentes culturais ou objetivo similar; ou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outras hipóteses em que a análise técnica da Administração Pública indicar que a aquisição de bens com titularidade do agente cultural é a melhor forma de promover o fomento cultural no caso concreto.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DÉCIMA - DA PUBLICAÇÃO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que produza seus efeitos jurídicos, o extrato deste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– TEC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deverá ser levado à publicação, pela SECULT, no Diário Oficial do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CLÁUSULA DÉCIMA  PRIMEIRA – DO FORO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right="53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eleito o foro da Comarca de Fortaleza – Ceará para dirimir quaisquer dúvidas ou litígios oriundos do presente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– TEC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Fortaleza – CE, data da assinatura digital.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right="53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LUISA CELA  DE ARRUDA COELHO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right="53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SECRETÁRIA DA CULTURA DO ESTADO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right="5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AGENTE CULTURAL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right="53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31" w:top="1440" w:left="1133" w:right="1115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widowControl w:val="0"/>
      <w:jc w:val="center"/>
      <w:rPr/>
    </w:pPr>
    <w:r w:rsidDel="00000000" w:rsidR="00000000" w:rsidRPr="00000000">
      <w:rPr/>
      <w:drawing>
        <wp:inline distB="0" distT="0" distL="0" distR="0">
          <wp:extent cx="594360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next w:val="LOnormal"/>
    <w:qFormat w:val="1"/>
    <w:pPr>
      <w:keepNext w:val="1"/>
      <w:keepLines w:val="1"/>
      <w:pageBreakBefore w:val="0"/>
      <w:widowControl w:val="0"/>
      <w:spacing w:after="120" w:before="400" w:line="240" w:lineRule="auto"/>
    </w:pPr>
    <w:rPr>
      <w:rFonts w:ascii="Arial" w:cs="Arial" w:eastAsia="Arial" w:hAnsi="Arial"/>
      <w:color w:val="auto"/>
      <w:kern w:val="0"/>
      <w:sz w:val="40"/>
      <w:szCs w:val="40"/>
      <w:lang w:bidi="hi-IN" w:eastAsia="zh-CN" w:val="en-US"/>
    </w:rPr>
  </w:style>
  <w:style w:type="paragraph" w:styleId="Ttulo2">
    <w:name w:val="Heading 2"/>
    <w:next w:val="LOnormal"/>
    <w:qFormat w:val="1"/>
    <w:pPr>
      <w:keepNext w:val="1"/>
      <w:keepLines w:val="1"/>
      <w:pageBreakBefore w:val="0"/>
      <w:widowControl w:val="0"/>
      <w:spacing w:after="120" w:before="360" w:line="240" w:lineRule="auto"/>
    </w:pPr>
    <w:rPr>
      <w:rFonts w:ascii="Arial" w:cs="Arial" w:eastAsia="Arial" w:hAnsi="Arial"/>
      <w:b w:val="0"/>
      <w:color w:val="auto"/>
      <w:kern w:val="0"/>
      <w:sz w:val="32"/>
      <w:szCs w:val="32"/>
      <w:lang w:bidi="hi-IN" w:eastAsia="zh-CN" w:val="en-US"/>
    </w:rPr>
  </w:style>
  <w:style w:type="paragraph" w:styleId="Ttulo3">
    <w:name w:val="Heading 3"/>
    <w:next w:val="LOnormal"/>
    <w:qFormat w:val="1"/>
    <w:pPr>
      <w:keepNext w:val="1"/>
      <w:keepLines w:val="1"/>
      <w:pageBreakBefore w:val="0"/>
      <w:widowControl w:val="0"/>
      <w:spacing w:after="80" w:before="320" w:line="240" w:lineRule="auto"/>
    </w:pPr>
    <w:rPr>
      <w:rFonts w:ascii="Arial" w:cs="Arial" w:eastAsia="Arial" w:hAnsi="Arial"/>
      <w:b w:val="0"/>
      <w:color w:val="434343"/>
      <w:kern w:val="0"/>
      <w:sz w:val="28"/>
      <w:szCs w:val="28"/>
      <w:lang w:bidi="hi-IN" w:eastAsia="zh-CN" w:val="en-US"/>
    </w:rPr>
  </w:style>
  <w:style w:type="paragraph" w:styleId="Ttulo4">
    <w:name w:val="Heading 4"/>
    <w:next w:val="LOnormal"/>
    <w:qFormat w:val="1"/>
    <w:pPr>
      <w:keepNext w:val="1"/>
      <w:keepLines w:val="1"/>
      <w:pageBreakBefore w:val="0"/>
      <w:widowControl w:val="0"/>
      <w:spacing w:after="80" w:before="280" w:line="240" w:lineRule="auto"/>
    </w:pPr>
    <w:rPr>
      <w:rFonts w:ascii="Arial" w:cs="Arial" w:eastAsia="Arial" w:hAnsi="Arial"/>
      <w:color w:val="666666"/>
      <w:kern w:val="0"/>
      <w:sz w:val="24"/>
      <w:szCs w:val="24"/>
      <w:lang w:bidi="hi-IN" w:eastAsia="zh-CN" w:val="en-US"/>
    </w:rPr>
  </w:style>
  <w:style w:type="paragraph" w:styleId="Ttulo5">
    <w:name w:val="Heading 5"/>
    <w:next w:val="LOnormal"/>
    <w:qFormat w:val="1"/>
    <w:pPr>
      <w:keepNext w:val="1"/>
      <w:keepLines w:val="1"/>
      <w:pageBreakBefore w:val="0"/>
      <w:widowControl w:val="0"/>
      <w:spacing w:after="80" w:before="240" w:line="240" w:lineRule="auto"/>
    </w:pPr>
    <w:rPr>
      <w:rFonts w:ascii="Arial" w:cs="Arial" w:eastAsia="Arial" w:hAnsi="Arial"/>
      <w:color w:val="666666"/>
      <w:kern w:val="0"/>
      <w:sz w:val="22"/>
      <w:szCs w:val="22"/>
      <w:lang w:bidi="hi-IN" w:eastAsia="zh-CN" w:val="en-US"/>
    </w:rPr>
  </w:style>
  <w:style w:type="paragraph" w:styleId="Ttulo6">
    <w:name w:val="Heading 6"/>
    <w:next w:val="LOnormal"/>
    <w:qFormat w:val="1"/>
    <w:pPr>
      <w:keepNext w:val="1"/>
      <w:keepLines w:val="1"/>
      <w:pageBreakBefore w:val="0"/>
      <w:widowControl w:val="0"/>
      <w:spacing w:after="80" w:before="240" w:line="240" w:lineRule="auto"/>
    </w:pPr>
    <w:rPr>
      <w:rFonts w:ascii="Arial" w:cs="Arial" w:eastAsia="Arial" w:hAnsi="Arial"/>
      <w:i w:val="1"/>
      <w:color w:val="666666"/>
      <w:kern w:val="0"/>
      <w:sz w:val="22"/>
      <w:szCs w:val="22"/>
      <w:lang w:bidi="hi-IN" w:eastAsia="zh-CN" w:val="en-US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Onormal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LOnormal"/>
    <w:next w:val="LO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normal"/>
    <w:next w:val="LOnormal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xDhMjaikN4vyuocS8cW4NYcYtQ==">CgMxLjAyDmguNDY0cHBqaTQydjFqMg5oLnJsNW03MnNqN2k1eTIOaC4yeDR0d3NtamQ0MmgyDmgudDQzcWFmcWtpdjRzOAByITFlbUUyY2VXSktXbE4zSVhld3RfbWhMV2VEalVreG1oWA==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