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 CULTURA  ALIMENTAR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9 –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5zaKnZyIudIwIGTZOF55KdQCQ==">CgMxLjAaJQoBMBIgCh4IB0IaCgZSb2JvdG8SEEFyaWFsIFVuaWNvZGUgTVM4AHIhMWg2ME1qZ1J3eHRSVHUyanM5dXlmNl9KVUgwQXNYcks2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