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DE APOIO AO AUDIOVISUAL CEARENSE - PRODUÇÕES (LEI PAULO GUSTAVO)</w:t>
      </w:r>
    </w:p>
    <w:p w:rsidR="00000000" w:rsidDel="00000000" w:rsidP="00000000" w:rsidRDefault="00000000" w:rsidRPr="00000000" w14:paraId="00000003">
      <w:pPr>
        <w:widowControl w:val="0"/>
        <w:spacing w:line="276" w:lineRule="auto"/>
        <w:ind w:right="-12"/>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1 - </w:t>
      </w:r>
      <w:r w:rsidDel="00000000" w:rsidR="00000000" w:rsidRPr="00000000">
        <w:rPr>
          <w:rFonts w:ascii="Calibri" w:cs="Calibri" w:eastAsia="Calibri" w:hAnsi="Calibri"/>
          <w:b w:val="1"/>
          <w:sz w:val="24"/>
          <w:szCs w:val="24"/>
          <w:highlight w:val="white"/>
          <w:rtl w:val="0"/>
        </w:rPr>
        <w:t xml:space="preserve">MINUTA DO TERMO DE EXECUÇÃO CULTURAL</w:t>
      </w:r>
      <w:r w:rsidDel="00000000" w:rsidR="00000000" w:rsidRPr="00000000">
        <w:rPr>
          <w:rtl w:val="0"/>
        </w:rPr>
      </w:r>
    </w:p>
    <w:p w:rsidR="00000000" w:rsidDel="00000000" w:rsidP="00000000" w:rsidRDefault="00000000" w:rsidRPr="00000000" w14:paraId="00000004">
      <w:pPr>
        <w:widowControl w:val="0"/>
        <w:spacing w:line="276" w:lineRule="auto"/>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after="240" w:line="256.8" w:lineRule="auto"/>
        <w:ind w:left="20" w:right="14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TERMO DE EXECUÇÃO CULTURAL Nº </w:t>
      </w:r>
      <w:r w:rsidDel="00000000" w:rsidR="00000000" w:rsidRPr="00000000">
        <w:rPr>
          <w:rFonts w:ascii="Times New Roman" w:cs="Times New Roman" w:eastAsia="Times New Roman" w:hAnsi="Times New Roman"/>
          <w:b w:val="1"/>
          <w:color w:val="ff0000"/>
          <w:rtl w:val="0"/>
        </w:rPr>
        <w:t xml:space="preserve">XXX</w:t>
      </w:r>
      <w:r w:rsidDel="00000000" w:rsidR="00000000" w:rsidRPr="00000000">
        <w:rPr>
          <w:rFonts w:ascii="Times New Roman" w:cs="Times New Roman" w:eastAsia="Times New Roman" w:hAnsi="Times New Roman"/>
          <w:b w:val="1"/>
          <w:rtl w:val="0"/>
        </w:rPr>
        <w:t xml:space="preserve">/202_</w:t>
      </w:r>
    </w:p>
    <w:p w:rsidR="00000000" w:rsidDel="00000000" w:rsidP="00000000" w:rsidRDefault="00000000" w:rsidRPr="00000000" w14:paraId="00000006">
      <w:pPr>
        <w:spacing w:after="220" w:before="240" w:line="254.4" w:lineRule="auto"/>
        <w:ind w:right="120"/>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NUP: </w:t>
      </w:r>
      <w:r w:rsidDel="00000000" w:rsidR="00000000" w:rsidRPr="00000000">
        <w:rPr>
          <w:rFonts w:ascii="Times New Roman" w:cs="Times New Roman" w:eastAsia="Times New Roman" w:hAnsi="Times New Roman"/>
          <w:color w:val="ff0000"/>
          <w:rtl w:val="0"/>
        </w:rPr>
        <w:t xml:space="preserve">XXXX.XXXX/202_-XX</w:t>
      </w:r>
    </w:p>
    <w:p w:rsidR="00000000" w:rsidDel="00000000" w:rsidP="00000000" w:rsidRDefault="00000000" w:rsidRPr="00000000" w14:paraId="00000007">
      <w:pPr>
        <w:spacing w:before="240" w:line="254.4" w:lineRule="auto"/>
        <w:ind w:left="3600" w:right="120" w:firstLine="1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8">
      <w:pPr>
        <w:spacing w:before="240" w:line="254.4" w:lineRule="auto"/>
        <w:ind w:right="120" w:firstLine="1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r w:rsidDel="00000000" w:rsidR="00000000" w:rsidRPr="00000000">
        <w:rPr>
          <w:rtl w:val="0"/>
        </w:rPr>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Nome do agente cultural 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6">
      <w:pPr>
        <w:pStyle w:val="Heading1"/>
        <w:keepNext w:val="0"/>
        <w:keepLines w:val="0"/>
        <w:spacing w:before="480" w:lineRule="auto"/>
        <w:jc w:val="both"/>
        <w:rPr>
          <w:rFonts w:ascii="Times New Roman" w:cs="Times New Roman" w:eastAsia="Times New Roman" w:hAnsi="Times New Roman"/>
          <w:b w:val="1"/>
          <w:sz w:val="24"/>
          <w:szCs w:val="24"/>
        </w:rPr>
      </w:pPr>
      <w:bookmarkStart w:colFirst="0" w:colLast="0" w:name="_2vz3w0tpe1q8" w:id="0"/>
      <w:bookmarkEnd w:id="0"/>
      <w:r w:rsidDel="00000000" w:rsidR="00000000" w:rsidRPr="00000000">
        <w:rPr>
          <w:rFonts w:ascii="Times New Roman" w:cs="Times New Roman" w:eastAsia="Times New Roman" w:hAnsi="Times New Roman"/>
          <w:b w:val="1"/>
          <w:sz w:val="24"/>
          <w:szCs w:val="24"/>
          <w:rtl w:val="0"/>
        </w:rPr>
        <w:t xml:space="preserve">CLÁUSULA PRIMEIRA - OBJETO, VALOR, VIGÊNCIA, DOTAÇÃO ORÇAMENTÁRIA E FISCAL</w:t>
      </w:r>
    </w:p>
    <w:p w:rsidR="00000000" w:rsidDel="00000000" w:rsidP="00000000" w:rsidRDefault="00000000" w:rsidRPr="00000000" w14:paraId="00000017">
      <w:pPr>
        <w:spacing w:before="240" w:line="256.8" w:lineRule="auto"/>
        <w:jc w:val="both"/>
        <w:rPr>
          <w:rFonts w:ascii="Times New Roman" w:cs="Times New Roman" w:eastAsia="Times New Roman" w:hAnsi="Times New Roman"/>
          <w:color w:val="00000a"/>
          <w:sz w:val="24"/>
          <w:szCs w:val="24"/>
        </w:rPr>
      </w:pPr>
      <w:r w:rsidDel="00000000" w:rsidR="00000000" w:rsidRPr="00000000">
        <w:rPr>
          <w:rFonts w:ascii="Times New Roman" w:cs="Times New Roman" w:eastAsia="Times New Roman" w:hAnsi="Times New Roman"/>
          <w:b w:val="1"/>
          <w:sz w:val="24"/>
          <w:szCs w:val="24"/>
          <w:rtl w:val="0"/>
        </w:rPr>
        <w:t xml:space="preserve">1.1. </w:t>
      </w:r>
      <w:r w:rsidDel="00000000" w:rsidR="00000000" w:rsidRPr="00000000">
        <w:rPr>
          <w:rFonts w:ascii="Times New Roman" w:cs="Times New Roman" w:eastAsia="Times New Roman" w:hAnsi="Times New Roman"/>
          <w:color w:val="00000a"/>
          <w:sz w:val="24"/>
          <w:szCs w:val="24"/>
          <w:rtl w:val="0"/>
        </w:rPr>
        <w:t xml:space="preserve">Constitui objeto do presente TEC a concessão de apoio financeiro ao projeto cultural [</w:t>
      </w:r>
      <w:r w:rsidDel="00000000" w:rsidR="00000000" w:rsidRPr="00000000">
        <w:rPr>
          <w:rFonts w:ascii="Times New Roman" w:cs="Times New Roman" w:eastAsia="Times New Roman" w:hAnsi="Times New Roman"/>
          <w:color w:val="ff0000"/>
          <w:sz w:val="24"/>
          <w:szCs w:val="24"/>
          <w:rtl w:val="0"/>
        </w:rPr>
        <w:t xml:space="preserve">INDICAR NOME DO PROJETO</w:t>
      </w:r>
      <w:r w:rsidDel="00000000" w:rsidR="00000000" w:rsidRPr="00000000">
        <w:rPr>
          <w:rFonts w:ascii="Times New Roman" w:cs="Times New Roman" w:eastAsia="Times New Roman" w:hAnsi="Times New Roman"/>
          <w:color w:val="00000a"/>
          <w:sz w:val="24"/>
          <w:szCs w:val="24"/>
          <w:rtl w:val="0"/>
        </w:rPr>
        <w:t xml:space="preserve">], contemplado no [</w:t>
      </w:r>
      <w:r w:rsidDel="00000000" w:rsidR="00000000" w:rsidRPr="00000000">
        <w:rPr>
          <w:rFonts w:ascii="Times New Roman" w:cs="Times New Roman" w:eastAsia="Times New Roman" w:hAnsi="Times New Roman"/>
          <w:color w:val="ff0000"/>
          <w:sz w:val="24"/>
          <w:szCs w:val="24"/>
          <w:rtl w:val="0"/>
        </w:rPr>
        <w:t xml:space="preserve">INDICAR NOME DO EDITAL</w:t>
      </w:r>
      <w:r w:rsidDel="00000000" w:rsidR="00000000" w:rsidRPr="00000000">
        <w:rPr>
          <w:rFonts w:ascii="Times New Roman" w:cs="Times New Roman" w:eastAsia="Times New Roman" w:hAnsi="Times New Roman"/>
          <w:color w:val="00000a"/>
          <w:sz w:val="24"/>
          <w:szCs w:val="24"/>
          <w:rtl w:val="0"/>
        </w:rPr>
        <w:t xml:space="preserve">], na categoria, [</w:t>
      </w:r>
      <w:r w:rsidDel="00000000" w:rsidR="00000000" w:rsidRPr="00000000">
        <w:rPr>
          <w:rFonts w:ascii="Times New Roman" w:cs="Times New Roman" w:eastAsia="Times New Roman" w:hAnsi="Times New Roman"/>
          <w:color w:val="ff0000"/>
          <w:sz w:val="24"/>
          <w:szCs w:val="24"/>
          <w:rtl w:val="0"/>
        </w:rPr>
        <w:t xml:space="preserve">INDICAR NOME DA CATEGORIA</w:t>
      </w:r>
      <w:r w:rsidDel="00000000" w:rsidR="00000000" w:rsidRPr="00000000">
        <w:rPr>
          <w:rFonts w:ascii="Times New Roman" w:cs="Times New Roman" w:eastAsia="Times New Roman" w:hAnsi="Times New Roman"/>
          <w:color w:val="00000a"/>
          <w:sz w:val="24"/>
          <w:szCs w:val="24"/>
          <w:rtl w:val="0"/>
        </w:rPr>
        <w:t xml:space="preserve">]  conforme processo administrativo nº [</w:t>
      </w:r>
      <w:r w:rsidDel="00000000" w:rsidR="00000000" w:rsidRPr="00000000">
        <w:rPr>
          <w:rFonts w:ascii="Times New Roman" w:cs="Times New Roman" w:eastAsia="Times New Roman" w:hAnsi="Times New Roman"/>
          <w:color w:val="ff0000"/>
          <w:sz w:val="24"/>
          <w:szCs w:val="24"/>
          <w:rtl w:val="0"/>
        </w:rPr>
        <w:t xml:space="preserve">INDICAR NÚMERO DO PROCESSO</w:t>
      </w:r>
      <w:r w:rsidDel="00000000" w:rsidR="00000000" w:rsidRPr="00000000">
        <w:rPr>
          <w:rFonts w:ascii="Times New Roman" w:cs="Times New Roman" w:eastAsia="Times New Roman" w:hAnsi="Times New Roman"/>
          <w:color w:val="00000a"/>
          <w:sz w:val="24"/>
          <w:szCs w:val="24"/>
          <w:rtl w:val="0"/>
        </w:rPr>
        <w:t xml:space="preserve">], para a realização de ação cultural, mediante o financiamento direto, conforme Plano de Ação e outros anexos que integram este termo independentemente de transcrição.</w:t>
      </w:r>
    </w:p>
    <w:p w:rsidR="00000000" w:rsidDel="00000000" w:rsidP="00000000" w:rsidRDefault="00000000" w:rsidRPr="00000000" w14:paraId="00000018">
      <w:pPr>
        <w:spacing w:before="240" w:line="256.8" w:lineRule="auto"/>
        <w:jc w:val="both"/>
        <w:rPr>
          <w:rFonts w:ascii="Times New Roman" w:cs="Times New Roman" w:eastAsia="Times New Roman" w:hAnsi="Times New Roman"/>
          <w:b w:val="1"/>
          <w:color w:val="00000a"/>
          <w:sz w:val="24"/>
          <w:szCs w:val="24"/>
        </w:rPr>
      </w:pPr>
      <w:r w:rsidDel="00000000" w:rsidR="00000000" w:rsidRPr="00000000">
        <w:rPr>
          <w:rFonts w:ascii="Times New Roman" w:cs="Times New Roman" w:eastAsia="Times New Roman" w:hAnsi="Times New Roman"/>
          <w:color w:val="00000a"/>
          <w:sz w:val="24"/>
          <w:szCs w:val="24"/>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9">
            <w:pPr>
              <w:rPr/>
            </w:pPr>
            <w:r w:rsidDel="00000000" w:rsidR="00000000" w:rsidRPr="00000000">
              <w:rPr>
                <w:rFonts w:ascii="Times New Roman" w:cs="Times New Roman" w:eastAsia="Times New Roman" w:hAnsi="Times New Roman"/>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rPr/>
            </w:pPr>
            <w:r w:rsidDel="00000000" w:rsidR="00000000" w:rsidRPr="00000000">
              <w:rPr>
                <w:rFonts w:ascii="Times New Roman" w:cs="Times New Roman" w:eastAsia="Times New Roman" w:hAnsi="Times New Roman"/>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rPr/>
            </w:pPr>
            <w:r w:rsidDel="00000000" w:rsidR="00000000" w:rsidRPr="00000000">
              <w:rPr>
                <w:rFonts w:ascii="Times New Roman" w:cs="Times New Roman" w:eastAsia="Times New Roman" w:hAnsi="Times New Roman"/>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rPr/>
            </w:pPr>
            <w:r w:rsidDel="00000000" w:rsidR="00000000" w:rsidRPr="00000000">
              <w:rPr>
                <w:rFonts w:ascii="Times New Roman" w:cs="Times New Roman" w:eastAsia="Times New Roman" w:hAnsi="Times New Roman"/>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rPr/>
            </w:pPr>
            <w:r w:rsidDel="00000000" w:rsidR="00000000" w:rsidRPr="00000000">
              <w:rPr>
                <w:rtl w:val="0"/>
              </w:rPr>
            </w:r>
          </w:p>
        </w:tc>
      </w:tr>
    </w:tbl>
    <w:p w:rsidR="00000000" w:rsidDel="00000000" w:rsidP="00000000" w:rsidRDefault="00000000" w:rsidRPr="00000000" w14:paraId="00000021">
      <w:pPr>
        <w:spacing w:before="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FUNDAMENTAÇÃO LEGAL</w:t>
      </w:r>
    </w:p>
    <w:p w:rsidR="00000000" w:rsidDel="00000000" w:rsidP="00000000" w:rsidRDefault="00000000" w:rsidRPr="00000000" w14:paraId="00000023">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4">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 termo se baseia, ainda, nas informações contidas no Processo Administrativo a este vinculado.</w:t>
      </w:r>
    </w:p>
    <w:p w:rsidR="00000000" w:rsidDel="00000000" w:rsidP="00000000" w:rsidRDefault="00000000" w:rsidRPr="00000000" w14:paraId="00000025">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 DAS PARTES</w:t>
      </w:r>
    </w:p>
    <w:p w:rsidR="00000000" w:rsidDel="00000000" w:rsidP="00000000" w:rsidRDefault="00000000" w:rsidRPr="00000000" w14:paraId="00000026">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a consecução dos objetivos deste TEC, as partes assumem as seguintes obrigações:</w:t>
      </w:r>
    </w:p>
    <w:p w:rsidR="00000000" w:rsidDel="00000000" w:rsidP="00000000" w:rsidRDefault="00000000" w:rsidRPr="00000000" w14:paraId="00000027">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DA SECULT</w:t>
      </w:r>
    </w:p>
    <w:p w:rsidR="00000000" w:rsidDel="00000000" w:rsidP="00000000" w:rsidRDefault="00000000" w:rsidRPr="00000000" w14:paraId="00000028">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9">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analisar e emitir parecer sobre os relatórios e sobre a prestação de informações apresentadas pelo(a) AGENTE CULTURAL;</w:t>
      </w:r>
    </w:p>
    <w:p w:rsidR="00000000" w:rsidDel="00000000" w:rsidP="00000000" w:rsidRDefault="00000000" w:rsidRPr="00000000" w14:paraId="0000002A">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Acompanhar as atividades de execução, avaliando os seus resultados e reflexos;</w:t>
      </w:r>
    </w:p>
    <w:p w:rsidR="00000000" w:rsidDel="00000000" w:rsidP="00000000" w:rsidRDefault="00000000" w:rsidRPr="00000000" w14:paraId="0000002B">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d)Supervisionar o(a) AGENTE CULTURAL, bem como exercer fiscalização na execução do projeto;</w:t>
      </w:r>
    </w:p>
    <w:p w:rsidR="00000000" w:rsidDel="00000000" w:rsidP="00000000" w:rsidRDefault="00000000" w:rsidRPr="00000000" w14:paraId="0000002C">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e)Analisar os documentos enviados pelo AGENTE CULTURAL para prestação de contas;</w:t>
      </w:r>
    </w:p>
    <w:p w:rsidR="00000000" w:rsidDel="00000000" w:rsidP="00000000" w:rsidRDefault="00000000" w:rsidRPr="00000000" w14:paraId="0000002D">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2E">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2F">
      <w:pPr>
        <w:widowControl w:val="0"/>
        <w:spacing w:before="200" w:line="240"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adotar medidas saneadoras e corretivas quando houver inadimplemento.</w:t>
        <w:tab/>
        <w:br w:type="textWrapping"/>
      </w:r>
    </w:p>
    <w:p w:rsidR="00000000" w:rsidDel="00000000" w:rsidP="00000000" w:rsidRDefault="00000000" w:rsidRPr="00000000" w14:paraId="00000030">
      <w:pPr>
        <w:widowControl w:val="0"/>
        <w:spacing w:before="200"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DO(A) AGENTE CULTURAL</w:t>
      </w:r>
    </w:p>
    <w:p w:rsidR="00000000" w:rsidDel="00000000" w:rsidP="00000000" w:rsidRDefault="00000000" w:rsidRPr="00000000" w14:paraId="00000031">
      <w:pPr>
        <w:numPr>
          <w:ilvl w:val="0"/>
          <w:numId w:val="3"/>
        </w:numPr>
        <w:spacing w:after="0" w:afterAutospacing="0" w:before="24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o projeto de acordo com as especificações aprovadas; </w:t>
      </w:r>
    </w:p>
    <w:p w:rsidR="00000000" w:rsidDel="00000000" w:rsidP="00000000" w:rsidRDefault="00000000" w:rsidRPr="00000000" w14:paraId="00000032">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3">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4">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5">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6">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7">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8">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9">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A">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a"/>
          <w:sz w:val="24"/>
          <w:szCs w:val="24"/>
          <w:rtl w:val="0"/>
        </w:rPr>
        <w:t xml:space="preserve">Entregar o Relatório</w:t>
      </w:r>
      <w:r w:rsidDel="00000000" w:rsidR="00000000" w:rsidRPr="00000000">
        <w:rPr>
          <w:rFonts w:ascii="Times New Roman" w:cs="Times New Roman" w:eastAsia="Times New Roman" w:hAnsi="Times New Roman"/>
          <w:sz w:val="24"/>
          <w:szCs w:val="24"/>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B">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C">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Apresentar a prestação de contas do projeto nos modelos e formatos informados pela SECULT;</w:t>
      </w:r>
    </w:p>
    <w:p w:rsidR="00000000" w:rsidDel="00000000" w:rsidP="00000000" w:rsidRDefault="00000000" w:rsidRPr="00000000" w14:paraId="0000003D">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realizar despesa em data anterior ou posterior à vigência deste termo de execução cultural;</w:t>
      </w:r>
    </w:p>
    <w:p w:rsidR="00000000" w:rsidDel="00000000" w:rsidP="00000000" w:rsidRDefault="00000000" w:rsidRPr="00000000" w14:paraId="0000003E">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3F">
      <w:pPr>
        <w:numPr>
          <w:ilvl w:val="0"/>
          <w:numId w:val="3"/>
        </w:numPr>
        <w:spacing w:after="0" w:afterAutospacing="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utilizar os recursos para finalidade diversa da estabelecida no projeto cultural;</w:t>
      </w:r>
    </w:p>
    <w:p w:rsidR="00000000" w:rsidDel="00000000" w:rsidP="00000000" w:rsidRDefault="00000000" w:rsidRPr="00000000" w14:paraId="00000040">
      <w:pPr>
        <w:numPr>
          <w:ilvl w:val="0"/>
          <w:numId w:val="3"/>
        </w:numPr>
        <w:spacing w:after="240" w:before="0" w:beforeAutospacing="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Executar a contrapartida conforme pactuado.</w:t>
      </w:r>
    </w:p>
    <w:p w:rsidR="00000000" w:rsidDel="00000000" w:rsidP="00000000" w:rsidRDefault="00000000" w:rsidRPr="00000000" w14:paraId="00000041">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PARÁGRAFO ÚNICO -</w:t>
      </w:r>
      <w:r w:rsidDel="00000000" w:rsidR="00000000" w:rsidRPr="00000000">
        <w:rPr>
          <w:rFonts w:ascii="Times New Roman" w:cs="Times New Roman" w:eastAsia="Times New Roman" w:hAnsi="Times New Roman"/>
          <w:sz w:val="24"/>
          <w:szCs w:val="24"/>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2">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QUARTA – DO ACOMPANHAMENTO E FISCALIZAÇÃO</w:t>
      </w:r>
    </w:p>
    <w:p w:rsidR="00000000" w:rsidDel="00000000" w:rsidP="00000000" w:rsidRDefault="00000000" w:rsidRPr="00000000" w14:paraId="00000043">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4">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 VIGÊNCIA E DAS ALTERAÇÕES</w:t>
      </w:r>
    </w:p>
    <w:p w:rsidR="00000000" w:rsidDel="00000000" w:rsidP="00000000" w:rsidRDefault="00000000" w:rsidRPr="00000000" w14:paraId="0000004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8">
      <w:pPr>
        <w:numPr>
          <w:ilvl w:val="0"/>
          <w:numId w:val="7"/>
        </w:numPr>
        <w:spacing w:after="0" w:afterAutospacing="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automática por parte da Secult em razão do exato atraso na liberação dos recursos financeiros;</w:t>
      </w:r>
    </w:p>
    <w:p w:rsidR="00000000" w:rsidDel="00000000" w:rsidP="00000000" w:rsidRDefault="00000000" w:rsidRPr="00000000" w14:paraId="00000049">
      <w:pPr>
        <w:numPr>
          <w:ilvl w:val="0"/>
          <w:numId w:val="7"/>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A">
      <w:pPr>
        <w:numPr>
          <w:ilvl w:val="0"/>
          <w:numId w:val="7"/>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B">
      <w:pPr>
        <w:numPr>
          <w:ilvl w:val="0"/>
          <w:numId w:val="7"/>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erros de ordem técnica nos sistemas de gestão e acompanhamento;</w:t>
      </w:r>
    </w:p>
    <w:p w:rsidR="00000000" w:rsidDel="00000000" w:rsidP="00000000" w:rsidRDefault="00000000" w:rsidRPr="00000000" w14:paraId="0000004C">
      <w:pPr>
        <w:numPr>
          <w:ilvl w:val="0"/>
          <w:numId w:val="7"/>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da classificação orçamentária;</w:t>
      </w:r>
    </w:p>
    <w:p w:rsidR="00000000" w:rsidDel="00000000" w:rsidP="00000000" w:rsidRDefault="00000000" w:rsidRPr="00000000" w14:paraId="0000004D">
      <w:pPr>
        <w:numPr>
          <w:ilvl w:val="0"/>
          <w:numId w:val="7"/>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do fiscal ou analista financeiro do instrumento.</w:t>
      </w:r>
    </w:p>
    <w:p w:rsidR="00000000" w:rsidDel="00000000" w:rsidP="00000000" w:rsidRDefault="00000000" w:rsidRPr="00000000" w14:paraId="0000004E">
      <w:pPr>
        <w:numPr>
          <w:ilvl w:val="0"/>
          <w:numId w:val="7"/>
        </w:numPr>
        <w:spacing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alteração do projeto sem modificação do valor do instrumento sem modificação do objeto.</w:t>
      </w:r>
    </w:p>
    <w:p w:rsidR="00000000" w:rsidDel="00000000" w:rsidP="00000000" w:rsidRDefault="00000000" w:rsidRPr="00000000" w14:paraId="0000004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Poderá ocorrer o remanejamento e/ou alteração entre itens de mesma natureza de despesa previstos no Plano de Ação, independentemente de solicitação do agente cultural e autorização prévia da Secult, observado o limite de 20% (vinte por cento) do valor total do projeto, desde que não ocorra a mudança da natureza do objeto do projeto e que observem o valor e a prática do mercado. Os remanejamentos inferiores ou iguais a 20% (vinte por cento) deverão ser identificados no Relatório de Execução do Objeto.</w:t>
      </w:r>
    </w:p>
    <w:p w:rsidR="00000000" w:rsidDel="00000000" w:rsidP="00000000" w:rsidRDefault="00000000" w:rsidRPr="00000000" w14:paraId="0000005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Os remanejamentos superiores a 20% (vinte por cento) deverão ser solicitados pelo agente cultural e autorizados pela Secult, que procederá com a formalização de apostilamento.</w:t>
      </w:r>
    </w:p>
    <w:p w:rsidR="00000000" w:rsidDel="00000000" w:rsidP="00000000" w:rsidRDefault="00000000" w:rsidRPr="00000000" w14:paraId="0000005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3">
      <w:pPr>
        <w:spacing w:before="240" w:line="256.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DOS RECURSOS</w:t>
      </w:r>
    </w:p>
    <w:p w:rsidR="00000000" w:rsidDel="00000000" w:rsidP="00000000" w:rsidRDefault="00000000" w:rsidRPr="00000000" w14:paraId="0000005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Os recursos do Termo de Execução Cultural serão liberados na forma prevista no edital.</w:t>
      </w:r>
    </w:p>
    <w:p w:rsidR="00000000" w:rsidDel="00000000" w:rsidP="00000000" w:rsidRDefault="00000000" w:rsidRPr="00000000" w14:paraId="00000057">
      <w:pPr>
        <w:spacing w:after="40"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w:t>
      </w:r>
      <w:r w:rsidDel="00000000" w:rsidR="00000000" w:rsidRPr="00000000">
        <w:rPr>
          <w:rFonts w:ascii="Times New Roman" w:cs="Times New Roman" w:eastAsia="Times New Roman" w:hAnsi="Times New Roman"/>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w:t>
      </w:r>
      <w:r w:rsidDel="00000000" w:rsidR="00000000" w:rsidRPr="00000000">
        <w:rPr>
          <w:rFonts w:ascii="Times New Roman" w:cs="Times New Roman" w:eastAsia="Times New Roman" w:hAnsi="Times New Roman"/>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w:t>
      </w:r>
      <w:r w:rsidDel="00000000" w:rsidR="00000000" w:rsidRPr="00000000">
        <w:rPr>
          <w:rFonts w:ascii="Times New Roman" w:cs="Times New Roman" w:eastAsia="Times New Roman" w:hAnsi="Times New Roman"/>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Ato do Secretário de Cultura disporá sobre os critérios e limites para a autorização do pagamento em espécie.</w:t>
      </w:r>
    </w:p>
    <w:p w:rsidR="00000000" w:rsidDel="00000000" w:rsidP="00000000" w:rsidRDefault="00000000" w:rsidRPr="00000000" w14:paraId="0000005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SÉTIMO</w:t>
      </w:r>
      <w:r w:rsidDel="00000000" w:rsidR="00000000" w:rsidRPr="00000000">
        <w:rPr>
          <w:rFonts w:ascii="Times New Roman" w:cs="Times New Roman" w:eastAsia="Times New Roman" w:hAnsi="Times New Roman"/>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C">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OITAVO</w:t>
      </w:r>
      <w:r w:rsidDel="00000000" w:rsidR="00000000" w:rsidRPr="00000000">
        <w:rPr>
          <w:rFonts w:ascii="Times New Roman" w:cs="Times New Roman" w:eastAsia="Times New Roman" w:hAnsi="Times New Roman"/>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D">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NONO</w:t>
      </w:r>
      <w:r w:rsidDel="00000000" w:rsidR="00000000" w:rsidRPr="00000000">
        <w:rPr>
          <w:rFonts w:ascii="Times New Roman" w:cs="Times New Roman" w:eastAsia="Times New Roman" w:hAnsi="Times New Roman"/>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E">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SÉTIMA – DA PRESTAÇÃO DE INFORMAÇÕES E CONTAS</w:t>
      </w:r>
    </w:p>
    <w:p w:rsidR="00000000" w:rsidDel="00000000" w:rsidP="00000000" w:rsidRDefault="00000000" w:rsidRPr="00000000" w14:paraId="0000005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Para fins de prestação de contas será exigida a comprovação da plena consecução do objeto do projeto, de acordo com as informações obtidas </w:t>
      </w:r>
      <w:r w:rsidDel="00000000" w:rsidR="00000000" w:rsidRPr="00000000">
        <w:rPr>
          <w:rFonts w:ascii="Times New Roman" w:cs="Times New Roman" w:eastAsia="Times New Roman" w:hAnsi="Times New Roman"/>
          <w:i w:val="1"/>
          <w:rtl w:val="0"/>
        </w:rPr>
        <w:t xml:space="preserve">in loco</w:t>
      </w:r>
      <w:r w:rsidDel="00000000" w:rsidR="00000000" w:rsidRPr="00000000">
        <w:rPr>
          <w:rFonts w:ascii="Times New Roman" w:cs="Times New Roman" w:eastAsia="Times New Roman" w:hAnsi="Times New Roman"/>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1">
      <w:pPr>
        <w:numPr>
          <w:ilvl w:val="0"/>
          <w:numId w:val="2"/>
        </w:numPr>
        <w:spacing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p>
    <w:p w:rsidR="00000000" w:rsidDel="00000000" w:rsidP="00000000" w:rsidRDefault="00000000" w:rsidRPr="00000000" w14:paraId="0000006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Caso a SECULT por qualquer motivo não possa realizar a visita para coleta de informações </w:t>
      </w:r>
      <w:r w:rsidDel="00000000" w:rsidR="00000000" w:rsidRPr="00000000">
        <w:rPr>
          <w:rFonts w:ascii="Times New Roman" w:cs="Times New Roman" w:eastAsia="Times New Roman" w:hAnsi="Times New Roman"/>
          <w:i w:val="1"/>
          <w:rtl w:val="0"/>
        </w:rPr>
        <w:t xml:space="preserve">in loco, </w:t>
      </w:r>
      <w:r w:rsidDel="00000000" w:rsidR="00000000" w:rsidRPr="00000000">
        <w:rPr>
          <w:rFonts w:ascii="Times New Roman" w:cs="Times New Roman" w:eastAsia="Times New Roman" w:hAnsi="Times New Roman"/>
          <w:rtl w:val="0"/>
        </w:rPr>
        <w:t xml:space="preserve">fica o agente cultural obrigado a realizar prestação de informações por meio do relatório de execução do objeto.</w:t>
      </w:r>
    </w:p>
    <w:p w:rsidR="00000000" w:rsidDel="00000000" w:rsidP="00000000" w:rsidRDefault="00000000" w:rsidRPr="00000000" w14:paraId="0000006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8.4.  A SECULT elaborará parecer técnico de análise do relatório de execução do objeto e poderá adotar os seguintes procedimentos, de acordo com o caso concreto:</w:t>
      </w:r>
    </w:p>
    <w:p w:rsidR="00000000" w:rsidDel="00000000" w:rsidP="00000000" w:rsidRDefault="00000000" w:rsidRPr="00000000" w14:paraId="00000064">
      <w:pPr>
        <w:numPr>
          <w:ilvl w:val="0"/>
          <w:numId w:val="8"/>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encaminhar o processo à autoridade responsável pelo julgamento da prestação de informações, caso conclua que houve o cumprimento integral do objeto; ou</w:t>
      </w:r>
    </w:p>
    <w:p w:rsidR="00000000" w:rsidDel="00000000" w:rsidP="00000000" w:rsidRDefault="00000000" w:rsidRPr="00000000" w14:paraId="00000065">
      <w:pPr>
        <w:numPr>
          <w:ilvl w:val="0"/>
          <w:numId w:val="8"/>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6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 Após a apresentação o relatório de execução do objeto de que trata o item 8.3., a SECULT poderá:</w:t>
      </w:r>
    </w:p>
    <w:p w:rsidR="00000000" w:rsidDel="00000000" w:rsidP="00000000" w:rsidRDefault="00000000" w:rsidRPr="00000000" w14:paraId="00000067">
      <w:pPr>
        <w:numPr>
          <w:ilvl w:val="0"/>
          <w:numId w:val="1"/>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determinar o arquivamento, caso considere que houve o cumprimento integral do objeto ou o cumprimento parcial justificado;</w:t>
      </w:r>
    </w:p>
    <w:p w:rsidR="00000000" w:rsidDel="00000000" w:rsidP="00000000" w:rsidRDefault="00000000" w:rsidRPr="00000000" w14:paraId="00000068">
      <w:pPr>
        <w:numPr>
          <w:ilvl w:val="0"/>
          <w:numId w:val="1"/>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69">
      <w:pPr>
        <w:numPr>
          <w:ilvl w:val="0"/>
          <w:numId w:val="1"/>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6A">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 O prazo para apresentação do relatório de execução financeira será de, no mínimo, trinta dias, contado do recebimento da notificação.</w:t>
      </w:r>
    </w:p>
    <w:p w:rsidR="00000000" w:rsidDel="00000000" w:rsidP="00000000" w:rsidRDefault="00000000" w:rsidRPr="00000000" w14:paraId="0000006B">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C">
      <w:pPr>
        <w:numPr>
          <w:ilvl w:val="0"/>
          <w:numId w:val="6"/>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aprovação da prestação de informações, com ou sem ressalvas; ou </w:t>
      </w:r>
    </w:p>
    <w:p w:rsidR="00000000" w:rsidDel="00000000" w:rsidP="00000000" w:rsidRDefault="00000000" w:rsidRPr="00000000" w14:paraId="0000006D">
      <w:pPr>
        <w:numPr>
          <w:ilvl w:val="0"/>
          <w:numId w:val="6"/>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reprovação da prestação de informações, parcial ou total.</w:t>
      </w:r>
    </w:p>
    <w:p w:rsidR="00000000" w:rsidDel="00000000" w:rsidP="00000000" w:rsidRDefault="00000000" w:rsidRPr="00000000" w14:paraId="0000006E">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6F">
      <w:pPr>
        <w:numPr>
          <w:ilvl w:val="0"/>
          <w:numId w:val="4"/>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devolução parcial ou integral dos recursos ao erário;</w:t>
      </w:r>
    </w:p>
    <w:p w:rsidR="00000000" w:rsidDel="00000000" w:rsidP="00000000" w:rsidRDefault="00000000" w:rsidRPr="00000000" w14:paraId="00000070">
      <w:pPr>
        <w:numPr>
          <w:ilvl w:val="0"/>
          <w:numId w:val="4"/>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apresentação de plano de ações compensatórias; ou</w:t>
      </w:r>
    </w:p>
    <w:p w:rsidR="00000000" w:rsidDel="00000000" w:rsidP="00000000" w:rsidRDefault="00000000" w:rsidRPr="00000000" w14:paraId="00000071">
      <w:pPr>
        <w:numPr>
          <w:ilvl w:val="0"/>
          <w:numId w:val="4"/>
        </w:numPr>
        <w:spacing w:after="10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devolução parcial dos recursos ao erário juntamente com a apresentação de plano de ações compensatórias.</w:t>
      </w:r>
    </w:p>
    <w:p w:rsidR="00000000" w:rsidDel="00000000" w:rsidP="00000000" w:rsidRDefault="00000000" w:rsidRPr="00000000" w14:paraId="0000007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5">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OITAVA – DA RESCISÃO E DAS SANÇÕES</w:t>
      </w:r>
    </w:p>
    <w:p w:rsidR="00000000" w:rsidDel="00000000" w:rsidP="00000000" w:rsidRDefault="00000000" w:rsidRPr="00000000" w14:paraId="0000007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7">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PRIMEIRO</w:t>
      </w:r>
      <w:r w:rsidDel="00000000" w:rsidR="00000000" w:rsidRPr="00000000">
        <w:rPr>
          <w:rFonts w:ascii="Times New Roman" w:cs="Times New Roman" w:eastAsia="Times New Roman" w:hAnsi="Times New Roman"/>
          <w:rtl w:val="0"/>
        </w:rPr>
        <w:t xml:space="preserve"> – O presente termo poderá ser rescindido, a qualquer tempo, das seguintes formas:</w:t>
      </w:r>
    </w:p>
    <w:p w:rsidR="00000000" w:rsidDel="00000000" w:rsidP="00000000" w:rsidRDefault="00000000" w:rsidRPr="00000000" w14:paraId="00000078">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amigável, por acordo entre as partes;</w:t>
      </w:r>
    </w:p>
    <w:p w:rsidR="00000000" w:rsidDel="00000000" w:rsidP="00000000" w:rsidRDefault="00000000" w:rsidRPr="00000000" w14:paraId="00000079">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A">
      <w:pPr>
        <w:numPr>
          <w:ilvl w:val="0"/>
          <w:numId w:val="5"/>
        </w:numPr>
        <w:spacing w:after="0" w:afterAutospacing="0" w:before="24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descumprimento de qualquer das cláusulas e condições dos termos ou das disposições da legislação vigente;</w:t>
      </w:r>
    </w:p>
    <w:p w:rsidR="00000000" w:rsidDel="00000000" w:rsidP="00000000" w:rsidRDefault="00000000" w:rsidRPr="00000000" w14:paraId="0000007B">
      <w:pPr>
        <w:numPr>
          <w:ilvl w:val="0"/>
          <w:numId w:val="5"/>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constatação, a qualquer tempo, de falsidade na documentação apresentada;</w:t>
      </w:r>
    </w:p>
    <w:p w:rsidR="00000000" w:rsidDel="00000000" w:rsidP="00000000" w:rsidRDefault="00000000" w:rsidRPr="00000000" w14:paraId="0000007C">
      <w:pPr>
        <w:numPr>
          <w:ilvl w:val="0"/>
          <w:numId w:val="5"/>
        </w:numPr>
        <w:spacing w:after="0" w:afterAutospacing="0"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ocorrência de caso fortuito ou de força maior, regularmente comprovada, impeditiva da execução do termo;</w:t>
      </w:r>
    </w:p>
    <w:p w:rsidR="00000000" w:rsidDel="00000000" w:rsidP="00000000" w:rsidRDefault="00000000" w:rsidRPr="00000000" w14:paraId="0000007D">
      <w:pPr>
        <w:numPr>
          <w:ilvl w:val="0"/>
          <w:numId w:val="5"/>
        </w:numPr>
        <w:spacing w:before="0" w:beforeAutospacing="0" w:line="254.4" w:lineRule="auto"/>
        <w:ind w:left="720" w:right="1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nos demais casos previstos na Lei 18.012/2022.</w:t>
      </w:r>
    </w:p>
    <w:p w:rsidR="00000000" w:rsidDel="00000000" w:rsidP="00000000" w:rsidRDefault="00000000" w:rsidRPr="00000000" w14:paraId="0000007E">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SEGUNDO</w:t>
      </w:r>
      <w:r w:rsidDel="00000000" w:rsidR="00000000" w:rsidRPr="00000000">
        <w:rPr>
          <w:rFonts w:ascii="Times New Roman" w:cs="Times New Roman" w:eastAsia="Times New Roman" w:hAnsi="Times New Roman"/>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7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TERCEIRO –</w:t>
      </w:r>
      <w:r w:rsidDel="00000000" w:rsidR="00000000" w:rsidRPr="00000000">
        <w:rPr>
          <w:rFonts w:ascii="Times New Roman" w:cs="Times New Roman" w:eastAsia="Times New Roman" w:hAnsi="Times New Roman"/>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0">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QUARTO –</w:t>
      </w:r>
      <w:r w:rsidDel="00000000" w:rsidR="00000000" w:rsidRPr="00000000">
        <w:rPr>
          <w:rFonts w:ascii="Times New Roman" w:cs="Times New Roman" w:eastAsia="Times New Roman" w:hAnsi="Times New Roman"/>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1">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2">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3">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4">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5">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QUINTO –</w:t>
      </w:r>
      <w:r w:rsidDel="00000000" w:rsidR="00000000" w:rsidRPr="00000000">
        <w:rPr>
          <w:rFonts w:ascii="Times New Roman" w:cs="Times New Roman" w:eastAsia="Times New Roman" w:hAnsi="Times New Roman"/>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6">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PARÁGRAFO SEXTO</w:t>
      </w:r>
      <w:r w:rsidDel="00000000" w:rsidR="00000000" w:rsidRPr="00000000">
        <w:rPr>
          <w:rFonts w:ascii="Times New Roman" w:cs="Times New Roman" w:eastAsia="Times New Roman" w:hAnsi="Times New Roman"/>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7">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NONA – DA EXTINÇÃO DO TERMO DE EXECUÇÃO CULTURAL</w:t>
      </w:r>
    </w:p>
    <w:p w:rsidR="00000000" w:rsidDel="00000000" w:rsidP="00000000" w:rsidRDefault="00000000" w:rsidRPr="00000000" w14:paraId="00000088">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O presente Termo de Execução Cultural poderá ser:</w:t>
      </w:r>
    </w:p>
    <w:p w:rsidR="00000000" w:rsidDel="00000000" w:rsidP="00000000" w:rsidRDefault="00000000" w:rsidRPr="00000000" w14:paraId="00000089">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 extinto por decurso de prazo;</w:t>
      </w:r>
    </w:p>
    <w:p w:rsidR="00000000" w:rsidDel="00000000" w:rsidP="00000000" w:rsidRDefault="00000000" w:rsidRPr="00000000" w14:paraId="0000008A">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 extinto, de comum acordo antes do prazo avençado, mediante Termo de Distrato;</w:t>
      </w:r>
    </w:p>
    <w:p w:rsidR="00000000" w:rsidDel="00000000" w:rsidP="00000000" w:rsidRDefault="00000000" w:rsidRPr="00000000" w14:paraId="0000008B">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C">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D">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descumprimento injustificado de cláusula deste instrumento;</w:t>
      </w:r>
    </w:p>
    <w:p w:rsidR="00000000" w:rsidDel="00000000" w:rsidP="00000000" w:rsidRDefault="00000000" w:rsidRPr="00000000" w14:paraId="0000008E">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irregularidade ou inexecução injustificada, ainda que parcial, do objeto, resultados ou metas pactuadas;</w:t>
      </w:r>
    </w:p>
    <w:p w:rsidR="00000000" w:rsidDel="00000000" w:rsidP="00000000" w:rsidRDefault="00000000" w:rsidRPr="00000000" w14:paraId="0000008F">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violação da legislação aplicável;</w:t>
      </w:r>
    </w:p>
    <w:p w:rsidR="00000000" w:rsidDel="00000000" w:rsidP="00000000" w:rsidRDefault="00000000" w:rsidRPr="00000000" w14:paraId="00000090">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cometimento de falhas reiteradas na execução;</w:t>
      </w:r>
    </w:p>
    <w:p w:rsidR="00000000" w:rsidDel="00000000" w:rsidP="00000000" w:rsidRDefault="00000000" w:rsidRPr="00000000" w14:paraId="00000091">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má administração de recursos públicos;</w:t>
      </w:r>
    </w:p>
    <w:p w:rsidR="00000000" w:rsidDel="00000000" w:rsidP="00000000" w:rsidRDefault="00000000" w:rsidRPr="00000000" w14:paraId="00000092">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constatação de falsidade ou fraude nas informações ou documentos apresentados;</w:t>
      </w:r>
    </w:p>
    <w:p w:rsidR="00000000" w:rsidDel="00000000" w:rsidP="00000000" w:rsidRDefault="00000000" w:rsidRPr="00000000" w14:paraId="00000093">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 não atendimento às recomendações ou determinações decorrentes da fiscalização;</w:t>
      </w:r>
    </w:p>
    <w:p w:rsidR="00000000" w:rsidDel="00000000" w:rsidP="00000000" w:rsidRDefault="00000000" w:rsidRPr="00000000" w14:paraId="00000094">
      <w:pPr>
        <w:spacing w:line="254.4" w:lineRule="auto"/>
        <w:ind w:left="283.464566929133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outras hipóteses expressamente previstas na legislação aplicável.</w:t>
      </w:r>
    </w:p>
    <w:p w:rsidR="00000000" w:rsidDel="00000000" w:rsidP="00000000" w:rsidRDefault="00000000" w:rsidRPr="00000000" w14:paraId="00000095">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6">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7">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8">
      <w:pPr>
        <w:spacing w:after="100" w:line="254.4"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9">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 DAS SANÇÕES</w:t>
      </w:r>
    </w:p>
    <w:p w:rsidR="00000000" w:rsidDel="00000000" w:rsidP="00000000" w:rsidRDefault="00000000" w:rsidRPr="00000000" w14:paraId="0000009A">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B">
      <w:pPr>
        <w:spacing w:before="240" w:line="254.4" w:lineRule="auto"/>
        <w:ind w:right="1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A decisão sobre a sanção deve ser precedida de abertura de prazo para apresentação de defesa pelo AGENTE CULTURAL.</w:t>
      </w:r>
    </w:p>
    <w:p w:rsidR="00000000" w:rsidDel="00000000" w:rsidP="00000000" w:rsidRDefault="00000000" w:rsidRPr="00000000" w14:paraId="0000009C">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PRIMEIRA - DA PUBLICAÇÃO</w:t>
      </w:r>
    </w:p>
    <w:p w:rsidR="00000000" w:rsidDel="00000000" w:rsidP="00000000" w:rsidRDefault="00000000" w:rsidRPr="00000000" w14:paraId="0000009D">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9E">
      <w:pPr>
        <w:spacing w:before="240" w:line="254.4" w:lineRule="auto"/>
        <w:ind w:right="1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DÉCIMA SEGUNDA – DO FORO</w:t>
      </w:r>
    </w:p>
    <w:p w:rsidR="00000000" w:rsidDel="00000000" w:rsidP="00000000" w:rsidRDefault="00000000" w:rsidRPr="00000000" w14:paraId="0000009F">
      <w:pPr>
        <w:spacing w:before="240" w:line="254.4" w:lineRule="auto"/>
        <w:ind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12.1. Fica eleito o foro da Comarca de Fortaleza – Ceará para dirimir quaisquer dúvidas ou litígios oriundos do presente TEC.</w:t>
      </w:r>
    </w:p>
    <w:p w:rsidR="00000000" w:rsidDel="00000000" w:rsidP="00000000" w:rsidRDefault="00000000" w:rsidRPr="00000000" w14:paraId="000000A0">
      <w:pPr>
        <w:spacing w:before="240" w:line="254.4" w:lineRule="auto"/>
        <w:ind w:left="740" w:right="120" w:firstLine="0"/>
        <w:jc w:val="both"/>
        <w:rPr>
          <w:b w:val="1"/>
        </w:rPr>
      </w:pPr>
      <w:r w:rsidDel="00000000" w:rsidR="00000000" w:rsidRPr="00000000">
        <w:rPr>
          <w:rFonts w:ascii="Times New Roman" w:cs="Times New Roman" w:eastAsia="Times New Roman" w:hAnsi="Times New Roman"/>
          <w:rtl w:val="0"/>
        </w:rPr>
        <w:t xml:space="preserve">Fortaleza – CE, data da última assinatura digital.</w:t>
      </w:r>
      <w:r w:rsidDel="00000000" w:rsidR="00000000" w:rsidRPr="00000000">
        <w:rPr>
          <w:rtl w:val="0"/>
        </w:rPr>
      </w:r>
    </w:p>
    <w:p w:rsidR="00000000" w:rsidDel="00000000" w:rsidP="00000000" w:rsidRDefault="00000000" w:rsidRPr="00000000" w14:paraId="000000A1">
      <w:pPr>
        <w:spacing w:before="240" w:line="256.8" w:lineRule="auto"/>
        <w:rPr/>
      </w:pPr>
      <w:r w:rsidDel="00000000" w:rsidR="00000000" w:rsidRPr="00000000">
        <w:rPr>
          <w:rtl w:val="0"/>
        </w:rPr>
      </w:r>
    </w:p>
    <w:p w:rsidR="00000000" w:rsidDel="00000000" w:rsidP="00000000" w:rsidRDefault="00000000" w:rsidRPr="00000000" w14:paraId="000000A2">
      <w:pPr>
        <w:spacing w:before="240" w:line="256.8"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3">
      <w:pPr>
        <w:widowControl w:val="0"/>
        <w:spacing w:line="276" w:lineRule="auto"/>
        <w:ind w:right="5.669291338583093"/>
        <w:jc w:val="center"/>
        <w:rPr/>
      </w:pPr>
      <w:r w:rsidDel="00000000" w:rsidR="00000000" w:rsidRPr="00000000">
        <w:rPr>
          <w:highlight w:val="white"/>
          <w:rtl w:val="0"/>
        </w:rPr>
        <w:t xml:space="preserve">Luisa Cela de Arruda Coêlho</w:t>
      </w:r>
      <w:r w:rsidDel="00000000" w:rsidR="00000000" w:rsidRPr="00000000">
        <w:rPr>
          <w:rtl w:val="0"/>
        </w:rPr>
      </w:r>
    </w:p>
    <w:p w:rsidR="00000000" w:rsidDel="00000000" w:rsidP="00000000" w:rsidRDefault="00000000" w:rsidRPr="00000000" w14:paraId="000000A4">
      <w:pPr>
        <w:spacing w:line="240" w:lineRule="auto"/>
        <w:ind w:left="20" w:right="200" w:firstLine="0"/>
        <w:jc w:val="center"/>
        <w:rPr/>
      </w:pPr>
      <w:r w:rsidDel="00000000" w:rsidR="00000000" w:rsidRPr="00000000">
        <w:rPr>
          <w:rtl w:val="0"/>
        </w:rPr>
        <w:t xml:space="preserve">SECRETÁRIA DA CULTURA DO ESTADO DO CEARÁ</w:t>
      </w:r>
    </w:p>
    <w:p w:rsidR="00000000" w:rsidDel="00000000" w:rsidP="00000000" w:rsidRDefault="00000000" w:rsidRPr="00000000" w14:paraId="000000A5">
      <w:pPr>
        <w:spacing w:before="240" w:line="256.8" w:lineRule="auto"/>
        <w:rPr/>
      </w:pPr>
      <w:r w:rsidDel="00000000" w:rsidR="00000000" w:rsidRPr="00000000">
        <w:rPr>
          <w:rtl w:val="0"/>
        </w:rPr>
      </w:r>
    </w:p>
    <w:p w:rsidR="00000000" w:rsidDel="00000000" w:rsidP="00000000" w:rsidRDefault="00000000" w:rsidRPr="00000000" w14:paraId="000000A6">
      <w:pPr>
        <w:spacing w:line="240"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7">
      <w:pPr>
        <w:spacing w:line="240" w:lineRule="auto"/>
        <w:ind w:left="20" w:right="200" w:firstLine="0"/>
        <w:jc w:val="center"/>
        <w:rPr/>
      </w:pPr>
      <w:r w:rsidDel="00000000" w:rsidR="00000000" w:rsidRPr="00000000">
        <w:rPr>
          <w:rtl w:val="0"/>
        </w:rPr>
        <w:t xml:space="preserve">AGENTE CULTURAL FOMENTADO</w:t>
      </w:r>
    </w:p>
    <w:p w:rsidR="00000000" w:rsidDel="00000000" w:rsidP="00000000" w:rsidRDefault="00000000" w:rsidRPr="00000000" w14:paraId="000000A8">
      <w:pPr>
        <w:spacing w:line="240" w:lineRule="auto"/>
        <w:ind w:left="20" w:right="200" w:firstLine="0"/>
        <w:jc w:val="center"/>
        <w:rPr>
          <w:rFonts w:ascii="Calibri" w:cs="Calibri" w:eastAsia="Calibri" w:hAnsi="Calibri"/>
          <w:b w:val="1"/>
          <w:sz w:val="24"/>
          <w:szCs w:val="24"/>
        </w:rPr>
      </w:pPr>
      <w:r w:rsidDel="00000000" w:rsidR="00000000" w:rsidRPr="00000000">
        <w:rPr>
          <w:rtl w:val="0"/>
        </w:rPr>
        <w:t xml:space="preserve">(VIDE CLÁUSULA PRIMEIRA)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spacing w:line="276" w:lineRule="auto"/>
      <w:ind w:hanging="15"/>
      <w:rPr/>
    </w:pPr>
    <w:r w:rsidDel="00000000" w:rsidR="00000000" w:rsidRPr="00000000">
      <w:rPr>
        <w:highlight w:val="white"/>
      </w:rPr>
      <w:drawing>
        <wp:inline distB="114300" distT="114300" distL="114300" distR="114300">
          <wp:extent cx="5731200" cy="6477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